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2563EB"/>
          <w:sz w:val="18"/>
        </w:rPr>
        <w:t>RÉFÉRENTIEL OFFICIEL MINISTÉRIEL — SESSION 2026</w:t>
        <w:br/>
      </w:r>
      <w:r>
        <w:rPr>
          <w:rFonts w:ascii="Arial" w:hAnsi="Arial"/>
          <w:b/>
          <w:color w:val="0F172A"/>
          <w:sz w:val="34"/>
        </w:rPr>
        <w:t>Modèle Lettre de Motivation Parcoursup — Licence Sciences du Langage</w:t>
      </w:r>
    </w:p>
    <w:p>
      <w:pPr>
        <w:jc w:val="center"/>
      </w:pPr>
      <w:r>
        <w:rPr>
          <w:rFonts w:ascii="Arial" w:hAnsi="Arial"/>
          <w:i/>
          <w:color w:val="475569"/>
          <w:sz w:val="21"/>
        </w:rPr>
        <w:t>Linguistique, Phonétique, Syntaxe et Traitement Automatique du Langage (2026)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68"/>
            <w:shd w:val="clear" w:color="auto" w:fill="EFF6FF"/>
          </w:tcPr>
          <w:p>
            <w:r>
              <w:rPr>
                <w:b/>
                <w:color w:val="1E3A8A"/>
                <w:sz w:val="19"/>
              </w:rPr>
              <w:t>Formation</w:t>
            </w:r>
          </w:p>
        </w:tc>
        <w:tc>
          <w:tcPr>
            <w:tcW w:type="dxa" w:w="6192"/>
            <w:shd w:val="clear" w:color="auto" w:fill="F8FAFC"/>
          </w:tcPr>
          <w:p>
            <w:r>
              <w:rPr>
                <w:color w:val="0F172A"/>
                <w:sz w:val="19"/>
              </w:rPr>
              <w:t>Licence Mention Sciences du Langage</w:t>
            </w:r>
          </w:p>
        </w:tc>
      </w:tr>
      <w:tr>
        <w:tc>
          <w:tcPr>
            <w:tcW w:type="dxa" w:w="3168"/>
            <w:shd w:val="clear" w:color="auto" w:fill="EFF6FF"/>
          </w:tcPr>
          <w:p>
            <w:r>
              <w:rPr>
                <w:b/>
                <w:color w:val="1E3A8A"/>
                <w:sz w:val="19"/>
              </w:rPr>
              <w:t>Objectif</w:t>
            </w:r>
          </w:p>
        </w:tc>
        <w:tc>
          <w:tcPr>
            <w:tcW w:type="dxa" w:w="6192"/>
            <w:shd w:val="clear" w:color="auto" w:fill="F8FAFC"/>
          </w:tcPr>
          <w:p>
            <w:r>
              <w:rPr>
                <w:color w:val="0F172A"/>
                <w:sz w:val="19"/>
              </w:rPr>
              <w:t>Admission Parcoursup en L1 de Linguistique / Orthophonie / FLE</w:t>
            </w:r>
          </w:p>
        </w:tc>
      </w:tr>
      <w:tr>
        <w:tc>
          <w:tcPr>
            <w:tcW w:type="dxa" w:w="3168"/>
            <w:shd w:val="clear" w:color="auto" w:fill="EFF6FF"/>
          </w:tcPr>
          <w:p>
            <w:r>
              <w:rPr>
                <w:b/>
                <w:color w:val="1E3A8A"/>
                <w:sz w:val="19"/>
              </w:rPr>
              <w:t>Attendus</w:t>
            </w:r>
          </w:p>
        </w:tc>
        <w:tc>
          <w:tcPr>
            <w:tcW w:type="dxa" w:w="6192"/>
            <w:shd w:val="clear" w:color="auto" w:fill="F8FAFC"/>
          </w:tcPr>
          <w:p>
            <w:r>
              <w:rPr>
                <w:color w:val="0F172A"/>
                <w:sz w:val="19"/>
              </w:rPr>
              <w:t>Intérêt pour le fonctionnement des langues, raisonnement analytique et rigueur descriptive</w:t>
            </w:r>
          </w:p>
        </w:tc>
      </w:tr>
    </w:tbl>
    <w:p/>
    <w:p>
      <w:pPr>
        <w:pStyle w:val="Heading1"/>
      </w:pPr>
      <w:r>
        <w:rPr>
          <w:rFonts w:ascii="Arial" w:hAnsi="Arial"/>
          <w:b/>
          <w:color w:val="1E40AF"/>
          <w:sz w:val="26"/>
        </w:rPr>
        <w:t>1. Argumentaire Linguistique Structuré pour Parcoursup</w:t>
      </w:r>
    </w:p>
    <w:p>
      <w:r>
        <w:rPr>
          <w:i/>
          <w:color w:val="64748B"/>
          <w:sz w:val="19"/>
        </w:rPr>
        <w:t>Structure démontrant une curiosité scientifique pour la structure formelle du langage.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1E3A8A"/>
          </w:tcPr>
          <w:p>
            <w:r>
              <w:rPr>
                <w:b/>
                <w:color w:val="FFFFFF"/>
                <w:sz w:val="18"/>
              </w:rPr>
              <w:t>Axe de Motivation</w:t>
            </w:r>
          </w:p>
        </w:tc>
        <w:tc>
          <w:tcPr>
            <w:tcW w:type="dxa" w:w="4873"/>
            <w:shd w:val="clear" w:color="auto" w:fill="1E3A8A"/>
          </w:tcPr>
          <w:p>
            <w:r>
              <w:rPr>
                <w:b/>
                <w:color w:val="FFFFFF"/>
                <w:sz w:val="18"/>
              </w:rPr>
              <w:t>Contenu Renseigné par le Candidat</w:t>
            </w:r>
          </w:p>
        </w:tc>
      </w:tr>
      <w:tr>
        <w:tc>
          <w:tcPr>
            <w:tcW w:type="dxa" w:w="4873"/>
            <w:shd w:val="clear" w:color="auto" w:fill="FFFFFF"/>
          </w:tcPr>
          <w:p>
            <w:r>
              <w:rPr>
                <w:color w:val="1E293B"/>
                <w:sz w:val="18"/>
              </w:rPr>
              <w:t>Passion pour les structures de la langue</w:t>
            </w:r>
          </w:p>
        </w:tc>
        <w:tc>
          <w:tcPr>
            <w:tcW w:type="dxa" w:w="4873"/>
            <w:shd w:val="clear" w:color="auto" w:fill="FFFFFF"/>
          </w:tcPr>
          <w:p>
            <w:r>
              <w:rPr>
                <w:color w:val="1E293B"/>
                <w:sz w:val="18"/>
              </w:rPr>
              <w:t>Intérêt pour la phonétique articulatoire, la syntaxe générative ou l'acquisition du langage chez l'enfant.</w:t>
            </w:r>
          </w:p>
        </w:tc>
      </w:tr>
      <w:tr>
        <w:tc>
          <w:tcPr>
            <w:tcW w:type="dxa" w:w="4873"/>
            <w:shd w:val="clear" w:color="auto" w:fill="F8FAFC"/>
          </w:tcPr>
          <w:p>
            <w:r>
              <w:rPr>
                <w:color w:val="1E293B"/>
                <w:sz w:val="18"/>
              </w:rPr>
              <w:t>Objectif professionnel ciblé</w:t>
            </w:r>
          </w:p>
        </w:tc>
        <w:tc>
          <w:tcPr>
            <w:tcW w:type="dxa" w:w="4873"/>
            <w:shd w:val="clear" w:color="auto" w:fill="F8FAFC"/>
          </w:tcPr>
          <w:p>
            <w:r>
              <w:rPr>
                <w:color w:val="1E293B"/>
                <w:sz w:val="18"/>
              </w:rPr>
              <w:t>Préparation au concours d'orthophonie, master FLE (Français Langue Étrangère) ou TAL (linguistique informatique).</w:t>
            </w:r>
          </w:p>
        </w:tc>
      </w:tr>
      <w:tr>
        <w:tc>
          <w:tcPr>
            <w:tcW w:type="dxa" w:w="4873"/>
            <w:shd w:val="clear" w:color="auto" w:fill="FFFFFF"/>
          </w:tcPr>
          <w:p>
            <w:r>
              <w:rPr>
                <w:color w:val="1E293B"/>
                <w:sz w:val="18"/>
              </w:rPr>
              <w:t>Qualités d'analyse</w:t>
            </w:r>
          </w:p>
        </w:tc>
        <w:tc>
          <w:tcPr>
            <w:tcW w:type="dxa" w:w="4873"/>
            <w:shd w:val="clear" w:color="auto" w:fill="FFFFFF"/>
          </w:tcPr>
          <w:p>
            <w:r>
              <w:rPr>
                <w:color w:val="1E293B"/>
                <w:sz w:val="18"/>
              </w:rPr>
              <w:t>Rigueur de raisonnement logique, capacité de catégorisation et intérêt pour la diversité linguistique mondiale.</w:t>
            </w:r>
          </w:p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